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语言文化学院翻译赛事级别认定标准  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为规范研究生管理，确保各种奖助学金及各种评奖活动公平公正顺利开展，经学院研究，对各类翻译赛事级别认定标准做出以下规定：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一、由中国译协、MTI教指委及外文局主办的翻译赛事，认定为国家级赛事。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二、由省级翻译协会（学会）主办的翻译赛事认定为省级赛事。其中，多家翻译学会或协会主办的赛事，等级高于独家主办的赛事。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三、由大学、研究机构、出版社、文化公司、杂志社、翻译公司等主办的翻译赛事，认定为校级赛事。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四、未列入的其它翻译赛事级别认定，由语言文化学院教授委员会根据情况研究决定。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附：部分翻译赛事级别认定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部分翻译赛事级别认定</w:t>
      </w:r>
    </w:p>
    <w:tbl>
      <w:tblPr>
        <w:tblStyle w:val="7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510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赛事名称</w:t>
            </w:r>
          </w:p>
        </w:tc>
        <w:tc>
          <w:tcPr>
            <w:tcW w:w="510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主办单位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认定级别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韩素英国际翻译大赛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中国翻译协会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</w:t>
            </w:r>
            <w:r>
              <w:rPr>
                <w:rFonts w:ascii="仿宋" w:hAnsi="仿宋" w:eastAsia="仿宋"/>
                <w:sz w:val="24"/>
                <w:szCs w:val="24"/>
              </w:rPr>
              <w:t>CATTI杯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”</w:t>
            </w:r>
            <w:r>
              <w:rPr>
                <w:rFonts w:ascii="仿宋" w:hAnsi="仿宋" w:eastAsia="仿宋"/>
                <w:sz w:val="24"/>
                <w:szCs w:val="24"/>
              </w:rPr>
              <w:t>全国翻译大赛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全国翻译专业学位研究生教育指导委员会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中国外文局翻译院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中西部外语翻译大赛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川省翻译协会、广西翻译协会、河南省翻译协会、上海市科技翻译学会、河北省翻译协会、贵州省翻译工作者协会、江苏省科技翻译工作者协会、甘肃省翻译工作者协会、宁夏翻译协会、山西省翻译协会、重庆翻译学会、吉林省翻译协会、 哈尔滨市翻译协会 、深圳市翻译协会、武汉翻译协会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海伦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斯诺翻译奖竞赛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陕西省翻译协会， 北京大学中国埃德加·斯诺研究中心， 南犹他大学（美国），西北大学海伦·福斯特·斯诺基金会（美国）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“板桥杯”青年翻译竞赛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江苏省翻译协会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“上电杯”全国科技翻译大赛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上海市科技翻译学会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许渊冲翻译大赛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山西大同大学许渊冲翻译与比较文化研究院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“上译”杯翻译竞赛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上海市文学艺术界联合会、上海世纪出版（集团）有限公司联合主办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“《英语世界》杯”翻译大赛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商务印书馆《英语世界》杂志社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“普译奖”全国大学生翻译比赛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《海外英语》杂志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北语国际口笔译大赛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北京语言大学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“儒易杯”中华文化国际翻译大赛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上海大学、河南大学和重庆大学接力主办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“思源杯”MTI翻译大赛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上海交通大学外国语学院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“理解当代中国”多语种国际翻译大赛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大连外国语大学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“中译国青杯”国际组织文件翻译大赛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中国对外翻译有限公司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校级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xNDZhNTJjZjdhNzE1NjQxNDE0Y2U1YWUwNTE2YjEifQ=="/>
  </w:docVars>
  <w:rsids>
    <w:rsidRoot w:val="00E301E5"/>
    <w:rsid w:val="00007FF9"/>
    <w:rsid w:val="00055AD0"/>
    <w:rsid w:val="000848CB"/>
    <w:rsid w:val="000D134E"/>
    <w:rsid w:val="0023089F"/>
    <w:rsid w:val="002C09EE"/>
    <w:rsid w:val="002F766A"/>
    <w:rsid w:val="00351207"/>
    <w:rsid w:val="0036002B"/>
    <w:rsid w:val="00366F0B"/>
    <w:rsid w:val="003D5BDF"/>
    <w:rsid w:val="00420DD1"/>
    <w:rsid w:val="00490F04"/>
    <w:rsid w:val="005003FF"/>
    <w:rsid w:val="005C34E4"/>
    <w:rsid w:val="00626C86"/>
    <w:rsid w:val="006A1AA9"/>
    <w:rsid w:val="006D7F22"/>
    <w:rsid w:val="006E1277"/>
    <w:rsid w:val="006E593A"/>
    <w:rsid w:val="0071674E"/>
    <w:rsid w:val="007677B5"/>
    <w:rsid w:val="007D5202"/>
    <w:rsid w:val="00843A34"/>
    <w:rsid w:val="00870356"/>
    <w:rsid w:val="008A1629"/>
    <w:rsid w:val="00900365"/>
    <w:rsid w:val="00903350"/>
    <w:rsid w:val="009F7B17"/>
    <w:rsid w:val="00A22B91"/>
    <w:rsid w:val="00AA788C"/>
    <w:rsid w:val="00AD3F16"/>
    <w:rsid w:val="00AF3A57"/>
    <w:rsid w:val="00B12AAB"/>
    <w:rsid w:val="00BC61F2"/>
    <w:rsid w:val="00BF2CFB"/>
    <w:rsid w:val="00C64CA8"/>
    <w:rsid w:val="00CA4909"/>
    <w:rsid w:val="00D44713"/>
    <w:rsid w:val="00DB629A"/>
    <w:rsid w:val="00E301E5"/>
    <w:rsid w:val="00E63BC7"/>
    <w:rsid w:val="00E84CD5"/>
    <w:rsid w:val="00F760E3"/>
    <w:rsid w:val="00F87278"/>
    <w:rsid w:val="00FB59F3"/>
    <w:rsid w:val="00FE0631"/>
    <w:rsid w:val="02C24BF1"/>
    <w:rsid w:val="053C0C8A"/>
    <w:rsid w:val="07B54D24"/>
    <w:rsid w:val="17CD1C16"/>
    <w:rsid w:val="1A475CB0"/>
    <w:rsid w:val="1EA336D1"/>
    <w:rsid w:val="282671F1"/>
    <w:rsid w:val="2E255EB0"/>
    <w:rsid w:val="3B1B48C3"/>
    <w:rsid w:val="41AC44C7"/>
    <w:rsid w:val="43CD7EF1"/>
    <w:rsid w:val="4C286E40"/>
    <w:rsid w:val="53B71F84"/>
    <w:rsid w:val="57A106CE"/>
    <w:rsid w:val="60EF1E34"/>
    <w:rsid w:val="69FC16D5"/>
    <w:rsid w:val="78C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8"/>
    <w:link w:val="2"/>
    <w:uiPriority w:val="9"/>
    <w:rPr>
      <w:rFonts w:ascii="宋体" w:hAnsi="宋体" w:eastAsia="宋体" w:cs="宋体"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146</Words>
  <Characters>835</Characters>
  <Lines>6</Lines>
  <Paragraphs>1</Paragraphs>
  <TotalTime>174</TotalTime>
  <ScaleCrop>false</ScaleCrop>
  <LinksUpToDate>false</LinksUpToDate>
  <CharactersWithSpaces>980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2022-10-16T03:35:00Z</dcterms:created>
  <dc:creator>User</dc:creator>
  <cp:lastModifiedBy>木心</cp:lastModifiedBy>
  <dcterms:modified xsi:type="dcterms:W3CDTF">2023-10-20T07:47:10Z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4E0339727EB34CEFA1011CB9050BDC3E</vt:lpwstr>
  </property>
</Properties>
</file>